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금전소비대차계약서</w:t>
      </w:r>
    </w:p>
    <w:p>
      <w:pPr>
        <w:spacing w:after="160"/>
      </w:pPr>
      <w:r>
        <w:rPr>
          <w:rFonts w:ascii="맑은 고딕" w:hAnsi="맑은 고딕"/>
          <w:sz w:val="21"/>
        </w:rPr>
        <w:t>대주          (이하 "갑"이라 한다)와 차주          (이하 "을"이라 한다)는 다음과 같이 금전소비대차계약을 체결한다.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[대차금액]</w:t>
      </w:r>
    </w:p>
    <w:p>
      <w:pPr>
        <w:spacing w:after="160"/>
      </w:pPr>
      <w:r>
        <w:rPr>
          <w:rFonts w:ascii="맑은 고딕" w:hAnsi="맑은 고딕"/>
          <w:sz w:val="21"/>
        </w:rPr>
        <w:t>갑은 을에게 금                          원정 (₩                          )을 대여한다.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[대여일]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  월      일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[변제기일]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  월      일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[이율]</w:t>
      </w:r>
    </w:p>
    <w:p>
      <w:pPr>
        <w:spacing w:after="160"/>
      </w:pPr>
      <w:r>
        <w:rPr>
          <w:rFonts w:ascii="맑은 고딕" w:hAnsi="맑은 고딕"/>
          <w:sz w:val="21"/>
        </w:rPr>
        <w:t>연          % (매월      일 후불로 지급)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[변제방법]</w:t>
      </w:r>
    </w:p>
    <w:p>
      <w:pPr>
        <w:spacing w:after="160"/>
      </w:pPr>
      <w:r>
        <w:rPr>
          <w:rFonts w:ascii="맑은 고딕" w:hAnsi="맑은 고딕"/>
          <w:sz w:val="21"/>
        </w:rPr>
        <w:t>☐ 만기 일시 상환  ☐ 원금균등분할 상환  ☐ 원리금균등분할 상환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제6조 [지연이자]</w:t>
      </w:r>
    </w:p>
    <w:p>
      <w:pPr>
        <w:spacing w:after="160"/>
      </w:pPr>
      <w:r>
        <w:rPr>
          <w:rFonts w:ascii="맑은 고딕" w:hAnsi="맑은 고딕"/>
          <w:sz w:val="21"/>
        </w:rPr>
        <w:t>을이 변제기한을 도과한 경우, 미상환 잔액에 대하여 연          %의 지연이자를 지급한다.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제7조 [기한이익 상실]</w:t>
      </w:r>
    </w:p>
    <w:p>
      <w:pPr>
        <w:spacing w:after="160"/>
      </w:pPr>
      <w:r>
        <w:rPr>
          <w:rFonts w:ascii="맑은 고딕" w:hAnsi="맑은 고딕"/>
          <w:sz w:val="21"/>
        </w:rPr>
        <w:t>을에게 다음 각 호의 사유가 발생한 경우, 갑은 기한의 이익을 상실시킬 수 있다.</w:t>
        <w:br/>
        <w:t xml:space="preserve">  1. 이자를 2회 이상 연체한 경우</w:t>
        <w:br/>
        <w:t xml:space="preserve">  2. 강제집행·가압류·가처분을 받은 경우</w:t>
        <w:br/>
        <w:t xml:space="preserve">  3. 기타 채무 이행이 곤란하다고 인정되는 경우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제8조 [담보]</w:t>
      </w:r>
    </w:p>
    <w:p>
      <w:pPr>
        <w:spacing w:after="160"/>
      </w:pPr>
      <w:r>
        <w:rPr>
          <w:rFonts w:ascii="맑은 고딕" w:hAnsi="맑은 고딕"/>
          <w:sz w:val="21"/>
        </w:rPr>
        <w:t>☐ 없음  ☐ 있음 (담보 내용:                                              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제9조 [관할]</w:t>
      </w:r>
    </w:p>
    <w:p>
      <w:pPr>
        <w:spacing w:after="160"/>
      </w:pPr>
      <w:r>
        <w:rPr>
          <w:rFonts w:ascii="맑은 고딕" w:hAnsi="맑은 고딕"/>
          <w:sz w:val="21"/>
        </w:rPr>
        <w:t>본 계약에 관한 분쟁은 갑의 주소지 관할 법원을 제1심 관할 법원으로 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제10조 [기타]</w:t>
      </w:r>
    </w:p>
    <w:p>
      <w:pPr>
        <w:spacing w:after="160"/>
      </w:pPr>
      <w:r>
        <w:rPr>
          <w:rFonts w:ascii="맑은 고딕" w:hAnsi="맑은 고딕"/>
          <w:sz w:val="21"/>
        </w:rPr>
        <w:t>본 계약에 정함이 없는 사항은 민법 및 관계 법령에 따른다.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대주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차주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