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차 용 증</w:t>
      </w:r>
    </w:p>
    <w:p>
      <w:pPr>
        <w:spacing w:after="160"/>
      </w:pPr>
      <w:r>
        <w:rPr>
          <w:rFonts w:ascii="맑은 고딕" w:hAnsi="맑은 고딕"/>
          <w:sz w:val="21"/>
        </w:rPr>
        <w:t>채권자          (이하 "갑"이라 한다)와 채무자          (이하 "을"이라 한다)는 다음과 같이 금전 차용에 관하여 약정한다.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제1조 [차용금액]</w:t>
      </w:r>
    </w:p>
    <w:p>
      <w:pPr>
        <w:spacing w:after="160"/>
      </w:pPr>
      <w:r>
        <w:rPr>
          <w:rFonts w:ascii="맑은 고딕" w:hAnsi="맑은 고딕"/>
          <w:sz w:val="21"/>
        </w:rPr>
        <w:t>금                          원정 (₩                          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제2조 [차용일자]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  월      일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제3조 [변제기일]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  월      일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제4조 [이자]</w:t>
      </w:r>
    </w:p>
    <w:p>
      <w:pPr>
        <w:spacing w:after="160"/>
      </w:pPr>
      <w:r>
        <w:rPr>
          <w:rFonts w:ascii="맑은 고딕" w:hAnsi="맑은 고딕"/>
          <w:sz w:val="21"/>
        </w:rPr>
        <w:t>연          % (매월      일 지급)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제5조 [변제방법]</w:t>
      </w:r>
    </w:p>
    <w:p>
      <w:pPr>
        <w:spacing w:after="160"/>
      </w:pPr>
      <w:r>
        <w:rPr>
          <w:rFonts w:ascii="맑은 고딕" w:hAnsi="맑은 고딕"/>
          <w:sz w:val="21"/>
        </w:rPr>
        <w:t>☐ 일시불 상환  ☐ 분할 상환 (매월                    원)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제6조 [지연손해금]</w:t>
      </w:r>
    </w:p>
    <w:p>
      <w:pPr>
        <w:spacing w:after="160"/>
      </w:pPr>
      <w:r>
        <w:rPr>
          <w:rFonts w:ascii="맑은 고딕" w:hAnsi="맑은 고딕"/>
          <w:sz w:val="21"/>
        </w:rPr>
        <w:t>을이 변제기일을 경과한 경우, 미상환 원금에 대하여 연          %의 지연손해금을 갑에게 지급한다.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제7조 [기한이익 상실]</w:t>
      </w:r>
    </w:p>
    <w:p>
      <w:pPr>
        <w:spacing w:after="160"/>
      </w:pPr>
      <w:r>
        <w:rPr>
          <w:rFonts w:ascii="맑은 고딕" w:hAnsi="맑은 고딕"/>
          <w:sz w:val="21"/>
        </w:rPr>
        <w:t>을이 이자를 2회 이상 연체하거나 기타 신용 상태가 현저히 악화된 경우, 갑은 즉시 전액 변제를 청구할 수 있다.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(갑) 채권자 성명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p/>
    <w:p>
      <w:r>
        <w:rPr>
          <w:rFonts w:ascii="맑은 고딕" w:hAnsi="맑은 고딕"/>
          <w:b/>
          <w:sz w:val="21"/>
        </w:rPr>
        <w:t xml:space="preserve">(을) 채무자 성명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